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ind w:firstLine="72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Порядок укладання договорів з розподілу природного газу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здійснюється відповідно до статті 40 </w:t>
      </w:r>
      <w:hyperlink r:id="rId2" w:anchor="Text" w:tgtFrame="_blank">
        <w:r>
          <w:rPr>
            <w:rStyle w:val="Style9"/>
            <w:rFonts w:eastAsia="Times New Roman" w:cs="Times New Roman" w:ascii="Times New Roman" w:hAnsi="Times New Roman"/>
            <w:sz w:val="24"/>
            <w:szCs w:val="24"/>
            <w:u w:val="single"/>
            <w:lang w:val="uk-UA"/>
          </w:rPr>
          <w:t>Закону України «Про ринок природного газу»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, положень розділу V Кодексу газорозподільних систем, затвердженим постановою НКРЕКП від 30.09.2015 № 2494, зареєстрованої в Міністерстві юстиції України 06.11.2015 за № 1379/27824 (Кодекс ГРМ), та Типового договору розподілу природного газу затвердженого постановою НКРЕКП від 30.09.2015 № 2498, зареєстрованої в Міністерстві юстиції України 06.11.2015 за № 1384/27829.</w:t>
      </w:r>
    </w:p>
    <w:p>
      <w:pPr>
        <w:pStyle w:val="Normal"/>
        <w:shd w:val="clear" w:color="auto" w:fill="FFFFFF"/>
        <w:spacing w:lineRule="atLeast" w:line="360" w:beforeAutospacing="1" w:afterAutospacing="1"/>
        <w:ind w:firstLine="72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Договір розподілу природного газу є договором приєднання, що укладається з урахуванням вимог статей 633, 634, 641 та 642 Цивільного Кодексу України на невизначений строк. Фактом приєднання споживача до умов договору розподілу (акцептування договору) є вчинення споживачем будь-яких дій, які засвідчують його бажання укласти договір розподілу, зокрема надання підписаної споживачем заяви-приєднання за формою, наведеною у додатку 1 (для споживачів, що є побутовими) до договору розподілу, яку в установленому порядку оператор газорозподільної системи (далі – Оператор ГРМ) направляє споживачу Інформаційним листом за формою, наведеною у додатку 3 до договору розподілу, та/або сплата рахунка оператора газорозподільної системи, та/або документально підтверджене споживання природного газу.</w:t>
      </w:r>
    </w:p>
    <w:p>
      <w:pPr>
        <w:pStyle w:val="Normal"/>
        <w:shd w:val="clear" w:color="auto" w:fill="FFFFFF"/>
        <w:spacing w:lineRule="atLeast" w:line="360" w:beforeAutospacing="1" w:afterAutospacing="1"/>
        <w:ind w:firstLine="72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Договір розподілу природного газу між Оператором ГРМ та споживачем укладається шляхом підписання заяви-приєднання споживача до умов договору розподілу природного газу, що відповідає Типовому договору розподілу природного газу, розміщеному на офіційному вебсайті Регулятора та Оператора ГРМ, і не потребує двостороннього підписання сторонами письмової форми договору. На письмову вимогу споживача Оператор ГРМ зобов'язаний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договору розподілу природного газу.</w:t>
      </w:r>
    </w:p>
    <w:p>
      <w:pPr>
        <w:pStyle w:val="Normal"/>
        <w:shd w:val="clear" w:color="auto" w:fill="FFFFFF"/>
        <w:spacing w:lineRule="atLeast" w:line="360" w:beforeAutospacing="1" w:afterAutospacing="1"/>
        <w:ind w:firstLine="72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Для забезпечення приєднання до договору розподілу природного газу всіх фактично підключених до/через ГРМ споживачів (у тому числі побутових споживачів)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заяву-приєднання до умов договору розподілу природного газу з персоніфікованими даними споживача та його об’єкта, що складається за формою додатка 2 (для споживачів, що не є побутовими) до типового договору розподілу природного газу.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>Оператор ГРМ може надати споживачу підписану його уповноваженою особою письмову форму договору розподілу природного газу.</w:t>
      </w:r>
    </w:p>
    <w:p>
      <w:pPr>
        <w:pStyle w:val="Normal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  <w:bookmarkStart w:id="0" w:name="_GoBack"/>
      <w:bookmarkStart w:id="1" w:name="_GoBack"/>
      <w:bookmarkEnd w:id="1"/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329-1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LibreOffice/25.2.0.3$Windows_X86_64 LibreOffice_project/e1cf4a87eb02d755bce1a01209907ea5ddc8f069</Application>
  <AppVersion>15.0000</AppVersion>
  <Pages>1</Pages>
  <Words>326</Words>
  <Characters>2259</Characters>
  <CharactersWithSpaces>2581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2022-12-28T12:28:00Z</dcterms:created>
  <dc:creator>User</dc:creator>
  <dc:description/>
  <dc:language>uk-UA</dc:language>
  <cp:lastModifiedBy>User</cp:lastModifiedBy>
  <dcterms:modified xsi:type="dcterms:W3CDTF">2022-12-28T13:06:00Z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